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BB" w:rsidRDefault="00917BA6" w:rsidP="0091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A6">
        <w:rPr>
          <w:rFonts w:ascii="Times New Roman" w:hAnsi="Times New Roman" w:cs="Times New Roman"/>
          <w:b/>
          <w:sz w:val="28"/>
          <w:szCs w:val="28"/>
        </w:rPr>
        <w:t>Соблюдение требований природоохранного законодательства в границах памятника природы</w:t>
      </w:r>
    </w:p>
    <w:p w:rsidR="00917BA6" w:rsidRDefault="00917BA6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BA6" w:rsidRPr="00917BA6" w:rsidRDefault="00917BA6" w:rsidP="0091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B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14.03.1995 № 33 особо охраняемые природные территории 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917BA6" w:rsidRPr="00917BA6" w:rsidRDefault="00917BA6" w:rsidP="0091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A6">
        <w:rPr>
          <w:rFonts w:ascii="Times New Roman" w:hAnsi="Times New Roman" w:cs="Times New Roman"/>
          <w:sz w:val="28"/>
          <w:szCs w:val="28"/>
        </w:rPr>
        <w:t>Особо охраняемые природные территории относятся к объектам общенационального достояния.</w:t>
      </w:r>
    </w:p>
    <w:p w:rsidR="00917BA6" w:rsidRPr="00917BA6" w:rsidRDefault="00917BA6" w:rsidP="0091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A6">
        <w:rPr>
          <w:rFonts w:ascii="Times New Roman" w:hAnsi="Times New Roman" w:cs="Times New Roman"/>
          <w:sz w:val="28"/>
          <w:szCs w:val="28"/>
        </w:rPr>
        <w:t>Согласно п.п. 17 пунктов 16, 17 Положения о памятнике природы Челябинской области озере Тургояк, утвержденного постановлением Правительства Челябинской области от 23.03.2007 № 62-П, в границах озера Тургояк, а также его охранной зоны запрещается использование пиротехнических изделий.</w:t>
      </w:r>
    </w:p>
    <w:p w:rsidR="00917BA6" w:rsidRPr="00917BA6" w:rsidRDefault="00917BA6" w:rsidP="0091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A6">
        <w:rPr>
          <w:rFonts w:ascii="Times New Roman" w:hAnsi="Times New Roman" w:cs="Times New Roman"/>
          <w:sz w:val="28"/>
          <w:szCs w:val="28"/>
        </w:rPr>
        <w:t>За нарушение установленного режима или иных правил охраны и использования окружающей среды и природных ресурсов на территориях особо охраняемых природных территорий предусмотрена административная ответственность, предусмотренная статьей 8.39 Кодекса Российской Федерации об административных правонарушениях.</w:t>
      </w:r>
    </w:p>
    <w:p w:rsidR="00917BA6" w:rsidRPr="00917BA6" w:rsidRDefault="00917BA6" w:rsidP="0091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A6">
        <w:rPr>
          <w:rFonts w:ascii="Times New Roman" w:hAnsi="Times New Roman" w:cs="Times New Roman"/>
          <w:sz w:val="28"/>
          <w:szCs w:val="28"/>
        </w:rPr>
        <w:t>Санкцией данной статьи установлена ответственность в виде административного штрафа на граждан в размере до 4000 рублей, на должностных лиц - до 20000 рублей, на юридических лиц - до 500000 рублей, кроме того, предусмотрена конфискация орудий совершения административного правонарушения.</w:t>
      </w: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A6" w:rsidRDefault="00917BA6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22CCF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9063CB"/>
    <w:rsid w:val="00917BA6"/>
    <w:rsid w:val="0094780A"/>
    <w:rsid w:val="009B4949"/>
    <w:rsid w:val="00A27568"/>
    <w:rsid w:val="00A43915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2020-10-23T04:23:00Z</dcterms:created>
  <dcterms:modified xsi:type="dcterms:W3CDTF">2021-12-29T05:38:00Z</dcterms:modified>
</cp:coreProperties>
</file>